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D847" w14:textId="6082522B" w:rsidR="00DE18F8" w:rsidRPr="00901AD9" w:rsidRDefault="00DE18F8" w:rsidP="00DE18F8">
      <w:pPr>
        <w:spacing w:line="240" w:lineRule="exact"/>
        <w:jc w:val="center"/>
        <w:rPr>
          <w:b/>
          <w:sz w:val="28"/>
        </w:rPr>
      </w:pPr>
      <w:bookmarkStart w:id="0" w:name="_GoBack"/>
      <w:r w:rsidRPr="00901AD9">
        <w:rPr>
          <w:b/>
          <w:sz w:val="28"/>
          <w:szCs w:val="28"/>
        </w:rPr>
        <w:t xml:space="preserve">О способах по восстановления прав граждан, пострадавших от </w:t>
      </w:r>
      <w:r w:rsidRPr="00901AD9">
        <w:rPr>
          <w:b/>
          <w:sz w:val="28"/>
        </w:rPr>
        <w:t>преступлений, совершенных с использованием информационно-телекоммуникационных технологий</w:t>
      </w:r>
    </w:p>
    <w:p w14:paraId="029731C9" w14:textId="7D5DB0A7" w:rsidR="00DE18F8" w:rsidRPr="00901AD9" w:rsidRDefault="00DE18F8" w:rsidP="00DE18F8">
      <w:pPr>
        <w:spacing w:line="240" w:lineRule="exact"/>
        <w:jc w:val="center"/>
        <w:rPr>
          <w:b/>
          <w:sz w:val="28"/>
        </w:rPr>
      </w:pPr>
    </w:p>
    <w:bookmarkEnd w:id="0"/>
    <w:p w14:paraId="3646116A" w14:textId="0A8D80A8" w:rsidR="00D51114" w:rsidRPr="00DB5AF2" w:rsidRDefault="00D51114" w:rsidP="00D51114">
      <w:pPr>
        <w:jc w:val="both"/>
        <w:rPr>
          <w:sz w:val="28"/>
          <w:szCs w:val="28"/>
        </w:rPr>
      </w:pPr>
      <w:r>
        <w:rPr>
          <w:sz w:val="28"/>
        </w:rPr>
        <w:tab/>
      </w:r>
      <w:r w:rsidRPr="00DB5AF2">
        <w:rPr>
          <w:sz w:val="28"/>
          <w:szCs w:val="28"/>
        </w:rPr>
        <w:t xml:space="preserve">За </w:t>
      </w:r>
      <w:proofErr w:type="gramStart"/>
      <w:r w:rsidRPr="00DB5AF2">
        <w:rPr>
          <w:sz w:val="28"/>
          <w:szCs w:val="28"/>
        </w:rPr>
        <w:t>12  месяцев</w:t>
      </w:r>
      <w:proofErr w:type="gramEnd"/>
      <w:r w:rsidRPr="00DB5AF2">
        <w:rPr>
          <w:sz w:val="28"/>
          <w:szCs w:val="28"/>
        </w:rPr>
        <w:t xml:space="preserve"> 2024 г. на территории Карачаево-Черкесской Республики отмечено увеличение числа зарегистрированных преступлений с использованием информационно-телекоммуникационных технологий, более 50% которых  составляют дистанционное мошенничество.</w:t>
      </w:r>
    </w:p>
    <w:p w14:paraId="231154B1" w14:textId="77777777" w:rsidR="008C21A9" w:rsidRDefault="00DB5AF2" w:rsidP="00DB5AF2">
      <w:pPr>
        <w:pStyle w:val="a3"/>
        <w:spacing w:before="0" w:beforeAutospacing="0" w:after="0" w:afterAutospacing="0" w:line="288" w:lineRule="atLeast"/>
        <w:ind w:firstLine="540"/>
        <w:jc w:val="both"/>
        <w:rPr>
          <w:sz w:val="28"/>
          <w:szCs w:val="28"/>
        </w:rPr>
      </w:pPr>
      <w:r w:rsidRPr="00DB5AF2">
        <w:rPr>
          <w:sz w:val="28"/>
          <w:szCs w:val="28"/>
        </w:rPr>
        <w:t xml:space="preserve">Основными инструментами злоумышленников остаются приемы социальной инженерии. Они активно используют средства анонимизации и технологии подмены абонентских номеров, применяют трансграничные схемы. Граждане теряют свои деньги не без помощи так называемых </w:t>
      </w:r>
      <w:proofErr w:type="spellStart"/>
      <w:r w:rsidRPr="00DB5AF2">
        <w:rPr>
          <w:sz w:val="28"/>
          <w:szCs w:val="28"/>
        </w:rPr>
        <w:t>дропперов</w:t>
      </w:r>
      <w:proofErr w:type="spellEnd"/>
      <w:r w:rsidRPr="00DB5AF2">
        <w:rPr>
          <w:sz w:val="28"/>
          <w:szCs w:val="28"/>
        </w:rPr>
        <w:t>, т.е. лиц, на счета которых похищенные мошенническим способом средства переводятся для последующего обналичивания. В связи с этим правоохранительные органы республики активно используют любые законные возможности для противодействия хищениям указанной категории.</w:t>
      </w:r>
    </w:p>
    <w:p w14:paraId="7C3E3358" w14:textId="77777777" w:rsidR="008C21A9" w:rsidRDefault="00DB5AF2" w:rsidP="00DB5AF2">
      <w:pPr>
        <w:pStyle w:val="a3"/>
        <w:spacing w:before="0" w:beforeAutospacing="0" w:after="0" w:afterAutospacing="0" w:line="288" w:lineRule="atLeast"/>
        <w:ind w:firstLine="540"/>
        <w:jc w:val="both"/>
        <w:rPr>
          <w:sz w:val="28"/>
          <w:szCs w:val="28"/>
        </w:rPr>
      </w:pPr>
      <w:r w:rsidRPr="00DB5AF2">
        <w:rPr>
          <w:sz w:val="28"/>
          <w:szCs w:val="28"/>
        </w:rPr>
        <w:t>Анализ обстоятельств большинства преступлений свидетельствует о том, что при получении доступа к банковским счетам граждан мошенники выводят денежные средства через счета посредников и оперативно их обналичивают.</w:t>
      </w:r>
    </w:p>
    <w:p w14:paraId="62E78E65" w14:textId="4F3696A6" w:rsidR="00DB5AF2" w:rsidRPr="00DB5AF2" w:rsidRDefault="00DB5AF2" w:rsidP="008C21A9">
      <w:pPr>
        <w:pStyle w:val="a3"/>
        <w:spacing w:before="0" w:beforeAutospacing="0" w:after="0" w:afterAutospacing="0"/>
        <w:ind w:firstLine="539"/>
        <w:jc w:val="both"/>
        <w:rPr>
          <w:sz w:val="28"/>
          <w:szCs w:val="28"/>
        </w:rPr>
      </w:pPr>
      <w:r w:rsidRPr="00DB5AF2">
        <w:rPr>
          <w:sz w:val="28"/>
          <w:szCs w:val="28"/>
        </w:rPr>
        <w:t>В большинстве случаев органы расследования посредников (</w:t>
      </w:r>
      <w:proofErr w:type="spellStart"/>
      <w:r w:rsidRPr="00DB5AF2">
        <w:rPr>
          <w:sz w:val="28"/>
          <w:szCs w:val="28"/>
        </w:rPr>
        <w:t>дропперов</w:t>
      </w:r>
      <w:proofErr w:type="spellEnd"/>
      <w:r w:rsidRPr="00DB5AF2">
        <w:rPr>
          <w:sz w:val="28"/>
          <w:szCs w:val="28"/>
        </w:rPr>
        <w:t xml:space="preserve">) устанавливают. Как правило, они дают показания о том, что продали зарегистрированные на себя банковские карты третьим лицам и не были осведомлены о совершении преступления. Очевидно, что в криминальном бизнесе, основанном на телефонном мошенничестве, </w:t>
      </w:r>
      <w:proofErr w:type="spellStart"/>
      <w:r w:rsidRPr="00DB5AF2">
        <w:rPr>
          <w:sz w:val="28"/>
          <w:szCs w:val="28"/>
        </w:rPr>
        <w:t>дропперы</w:t>
      </w:r>
      <w:proofErr w:type="spellEnd"/>
      <w:r w:rsidRPr="00DB5AF2">
        <w:rPr>
          <w:sz w:val="28"/>
          <w:szCs w:val="28"/>
        </w:rPr>
        <w:t xml:space="preserve"> играют важную роль. Несмотря на то что основания для привлечения таких лиц к уголовной ответственности есть не всегда, это не освобождает их от необходимости возмещать ущерб, что и заложено в основу привлечения их к гражданско-правовой ответственности.</w:t>
      </w:r>
    </w:p>
    <w:p w14:paraId="684EAEED" w14:textId="77777777" w:rsidR="00DB5AF2" w:rsidRPr="00DB5AF2" w:rsidRDefault="00DB5AF2" w:rsidP="008C21A9">
      <w:pPr>
        <w:pStyle w:val="a3"/>
        <w:spacing w:before="0" w:beforeAutospacing="0" w:after="0" w:afterAutospacing="0"/>
        <w:ind w:firstLine="539"/>
        <w:jc w:val="both"/>
        <w:rPr>
          <w:sz w:val="28"/>
          <w:szCs w:val="28"/>
        </w:rPr>
      </w:pPr>
      <w:r w:rsidRPr="00DB5AF2">
        <w:rPr>
          <w:sz w:val="28"/>
          <w:szCs w:val="28"/>
        </w:rPr>
        <w:t xml:space="preserve">Пунктом 1 ст. 1102 ГК РФ определено,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Эти правила применяются независимо от того, стало неосновательное обогащение результатом поведения приобретателя имущества, самого потерпевшего, третьих лиц или произошло помимо их воли (п. 2 ст. 1102 ГК). Для того чтобы доказать наличие обязательства, возникшего вследствие неосновательного обогащения, необходимо подтвердить факт безосновательного сбережения чужого имущества приобретателем и наличие в результате этого убытков у потерпевшего. </w:t>
      </w:r>
    </w:p>
    <w:p w14:paraId="5934BBF5" w14:textId="77777777" w:rsidR="00DB5AF2" w:rsidRPr="00DB5AF2" w:rsidRDefault="00DB5AF2" w:rsidP="00DB5AF2">
      <w:pPr>
        <w:pStyle w:val="a3"/>
        <w:spacing w:before="168" w:beforeAutospacing="0" w:after="0" w:afterAutospacing="0" w:line="288" w:lineRule="atLeast"/>
        <w:ind w:firstLine="540"/>
        <w:jc w:val="both"/>
        <w:rPr>
          <w:sz w:val="28"/>
          <w:szCs w:val="28"/>
        </w:rPr>
      </w:pPr>
      <w:r w:rsidRPr="00DB5AF2">
        <w:rPr>
          <w:sz w:val="28"/>
          <w:szCs w:val="28"/>
        </w:rPr>
        <w:t xml:space="preserve">Как правило, внутрибанковскими документами установлено, что банковская карта принадлежит самой кредитной организации, держатель же обладает лишь правомочием пользования. В силу этого он не вправе передавать другим лицам как саму карту, так и секретный ключ, используемый для авторизации пользователя (ПИН-код). Поэтому за все негативные </w:t>
      </w:r>
      <w:r w:rsidRPr="00DB5AF2">
        <w:rPr>
          <w:sz w:val="28"/>
          <w:szCs w:val="28"/>
        </w:rPr>
        <w:lastRenderedPageBreak/>
        <w:t xml:space="preserve">последствия, связанные с передачей карты третьим лицам, ответственность несет держатель карты. Это распространяется и на операции, произведенные с использованием банковской карты. Указанное дает основания для взыскания поступивших </w:t>
      </w:r>
      <w:proofErr w:type="spellStart"/>
      <w:r w:rsidRPr="00DB5AF2">
        <w:rPr>
          <w:sz w:val="28"/>
          <w:szCs w:val="28"/>
        </w:rPr>
        <w:t>дропперам</w:t>
      </w:r>
      <w:proofErr w:type="spellEnd"/>
      <w:r w:rsidRPr="00DB5AF2">
        <w:rPr>
          <w:sz w:val="28"/>
          <w:szCs w:val="28"/>
        </w:rPr>
        <w:t xml:space="preserve"> похищенных денежных средств вне зависимости от осведомленности об обстоятельствах совершенного хищения, поскольку нет надлежащих правовых оснований для зачисления денежных средств на банковские счета, открытые на их имя. </w:t>
      </w:r>
    </w:p>
    <w:p w14:paraId="0FBCF5FB" w14:textId="77777777" w:rsidR="00DB5AF2" w:rsidRPr="00DB5AF2" w:rsidRDefault="00DB5AF2" w:rsidP="00DB5AF2">
      <w:pPr>
        <w:pStyle w:val="a3"/>
        <w:spacing w:before="0" w:beforeAutospacing="0" w:after="0" w:afterAutospacing="0" w:line="288" w:lineRule="atLeast"/>
        <w:ind w:firstLine="540"/>
        <w:jc w:val="both"/>
        <w:rPr>
          <w:sz w:val="28"/>
          <w:szCs w:val="28"/>
        </w:rPr>
      </w:pPr>
      <w:r w:rsidRPr="00DB5AF2">
        <w:rPr>
          <w:sz w:val="28"/>
          <w:szCs w:val="28"/>
        </w:rPr>
        <w:t>Социальный портрет потерпевших свидетельствует о том, что каждое пятое такое преступление на территории республики совершается в отношении граждан старше 60 лет. В случаях, установленных ч. 1 ст. 45 ГПК РФ, если потерпевший по состоянию здоровья, возрасту, недееспособности и другим уважительным причинам не может сам обратиться в суд, иск в порядке гражданского судопроизводства может быть предъявлен прокурором. По этой причине прокуроры ориентированы на незамедлительное обращение с исковыми заявлениями в суд по таким делам в порядке ст. 45 ГПК.</w:t>
      </w:r>
    </w:p>
    <w:p w14:paraId="2C5814ED" w14:textId="12010852" w:rsidR="000F72F5" w:rsidRPr="00FB48BE" w:rsidRDefault="00A76701" w:rsidP="008C21A9">
      <w:pPr>
        <w:jc w:val="both"/>
        <w:rPr>
          <w:sz w:val="28"/>
          <w:szCs w:val="28"/>
        </w:rPr>
      </w:pPr>
      <w:r>
        <w:rPr>
          <w:sz w:val="28"/>
          <w:szCs w:val="28"/>
        </w:rPr>
        <w:tab/>
        <w:t>Кроме того, органами прокуратуры проводится работа</w:t>
      </w:r>
      <w:r w:rsidR="00070A8D">
        <w:rPr>
          <w:sz w:val="28"/>
          <w:szCs w:val="28"/>
        </w:rPr>
        <w:t xml:space="preserve"> по предъявления в суд исков в интересах лиц, пострадавших от </w:t>
      </w:r>
      <w:r w:rsidR="00FB48BE">
        <w:rPr>
          <w:sz w:val="28"/>
          <w:szCs w:val="28"/>
        </w:rPr>
        <w:t>преступлений</w:t>
      </w:r>
      <w:r w:rsidR="005F0F77" w:rsidRPr="005F0F77">
        <w:rPr>
          <w:sz w:val="28"/>
          <w:szCs w:val="28"/>
        </w:rPr>
        <w:t xml:space="preserve"> </w:t>
      </w:r>
      <w:r w:rsidR="005F0F77">
        <w:rPr>
          <w:sz w:val="28"/>
          <w:szCs w:val="28"/>
        </w:rPr>
        <w:t xml:space="preserve">в сфере </w:t>
      </w:r>
      <w:r w:rsidR="008C21A9">
        <w:rPr>
          <w:sz w:val="28"/>
          <w:szCs w:val="28"/>
        </w:rPr>
        <w:t>дистанционного мошенничества, при которых потерпевшими путем обмана оформляются кредитные обязательства в банковских учреждениях, о расторжении кредитных договоров.</w:t>
      </w:r>
    </w:p>
    <w:sectPr w:rsidR="000F72F5" w:rsidRPr="00FB4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CC"/>
    <w:rsid w:val="00070A8D"/>
    <w:rsid w:val="000F72F5"/>
    <w:rsid w:val="002668CC"/>
    <w:rsid w:val="005F0F77"/>
    <w:rsid w:val="008C21A9"/>
    <w:rsid w:val="00901AD9"/>
    <w:rsid w:val="00A76701"/>
    <w:rsid w:val="00BF144C"/>
    <w:rsid w:val="00D51114"/>
    <w:rsid w:val="00DB5AF2"/>
    <w:rsid w:val="00DE18F8"/>
    <w:rsid w:val="00FB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D929"/>
  <w15:chartTrackingRefBased/>
  <w15:docId w15:val="{2F8B6E8A-B198-4D7C-89EA-8F63AC4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9162">
      <w:bodyDiv w:val="1"/>
      <w:marLeft w:val="0"/>
      <w:marRight w:val="0"/>
      <w:marTop w:val="0"/>
      <w:marBottom w:val="0"/>
      <w:divBdr>
        <w:top w:val="none" w:sz="0" w:space="0" w:color="auto"/>
        <w:left w:val="none" w:sz="0" w:space="0" w:color="auto"/>
        <w:bottom w:val="none" w:sz="0" w:space="0" w:color="auto"/>
        <w:right w:val="none" w:sz="0" w:space="0" w:color="auto"/>
      </w:divBdr>
    </w:div>
    <w:div w:id="19835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Асланукова Рада Руслановна</dc:creator>
  <cp:keywords/>
  <dc:description/>
  <cp:lastModifiedBy>Асланукова Рада Руслановна</cp:lastModifiedBy>
  <cp:revision>5</cp:revision>
  <dcterms:created xsi:type="dcterms:W3CDTF">2025-03-10T13:30:00Z</dcterms:created>
  <dcterms:modified xsi:type="dcterms:W3CDTF">2025-03-11T07:19:00Z</dcterms:modified>
</cp:coreProperties>
</file>